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A0" w:rsidRPr="005C62DB" w:rsidRDefault="002049A0" w:rsidP="002049A0">
      <w:pPr>
        <w:spacing w:after="0"/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</w:pPr>
      <w:r w:rsidRPr="005C62DB"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 xml:space="preserve">Sylvie </w:t>
      </w:r>
      <w:proofErr w:type="spellStart"/>
      <w:r w:rsidRPr="005C62DB"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>Hureau</w:t>
      </w:r>
      <w:proofErr w:type="spellEnd"/>
      <w:r w:rsidRPr="005C62DB"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>,</w:t>
      </w:r>
      <w:r w:rsidRPr="005C62D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5C62DB"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>Congrès Asie septembre 2015</w:t>
      </w:r>
    </w:p>
    <w:p w:rsidR="002049A0" w:rsidRPr="005C62DB" w:rsidRDefault="002049A0" w:rsidP="00085D2C">
      <w:pPr>
        <w:spacing w:after="0"/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</w:pPr>
    </w:p>
    <w:p w:rsidR="00AD454B" w:rsidRPr="005C62DB" w:rsidRDefault="001C2319" w:rsidP="00085D2C">
      <w:pPr>
        <w:spacing w:after="0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5C62DB"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>Quelques observations sur</w:t>
      </w:r>
      <w:r w:rsidR="00AD454B" w:rsidRPr="005C62DB"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 xml:space="preserve"> la structure</w:t>
      </w:r>
      <w:r w:rsidR="00B301BA" w:rsidRPr="005C62DB"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 xml:space="preserve"> et </w:t>
      </w:r>
      <w:r w:rsidR="00FD08F6" w:rsidRPr="005C62DB"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>les pratiques narratives</w:t>
      </w:r>
      <w:r w:rsidR="00AD454B" w:rsidRPr="005C62DB"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 xml:space="preserve"> du </w:t>
      </w:r>
      <w:proofErr w:type="spellStart"/>
      <w:r w:rsidR="00AD454B" w:rsidRPr="005C62DB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</w:rPr>
        <w:t>Gaoseng</w:t>
      </w:r>
      <w:proofErr w:type="spellEnd"/>
      <w:r w:rsidR="00AD454B" w:rsidRPr="005C62DB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</w:rPr>
        <w:t xml:space="preserve"> </w:t>
      </w:r>
      <w:proofErr w:type="spellStart"/>
      <w:r w:rsidR="00AD454B" w:rsidRPr="005C62DB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</w:rPr>
        <w:t>zhuan</w:t>
      </w:r>
      <w:proofErr w:type="spellEnd"/>
      <w:r w:rsidR="00085D2C" w:rsidRPr="005C62DB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</w:rPr>
        <w:t xml:space="preserve"> </w:t>
      </w:r>
    </w:p>
    <w:p w:rsidR="001B0F87" w:rsidRPr="005C62DB" w:rsidRDefault="001B0F87" w:rsidP="001B0F87">
      <w:pPr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Le</w:t>
      </w:r>
      <w:r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 xml:space="preserve"> </w:t>
      </w:r>
      <w:proofErr w:type="spellStart"/>
      <w:r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Gaoseng</w:t>
      </w:r>
      <w:proofErr w:type="spellEnd"/>
      <w:r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 xml:space="preserve"> </w:t>
      </w:r>
      <w:proofErr w:type="spellStart"/>
      <w:r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zhuan</w:t>
      </w:r>
      <w:proofErr w:type="spellEnd"/>
      <w:r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 xml:space="preserve"> </w:t>
      </w:r>
      <w:r w:rsidRPr="005C62DB">
        <w:rPr>
          <w:rFonts w:ascii="Times New Roman" w:eastAsia="Batang" w:hAnsi="Times New Roman" w:cs="Times New Roman"/>
          <w:sz w:val="24"/>
          <w:szCs w:val="24"/>
        </w:rPr>
        <w:t>高僧傳</w:t>
      </w:r>
      <w:r w:rsidRPr="005C62DB">
        <w:rPr>
          <w:rFonts w:ascii="Times New Roman" w:eastAsia="Batang" w:hAnsi="Times New Roman" w:cs="Times New Roman"/>
          <w:sz w:val="24"/>
          <w:szCs w:val="24"/>
        </w:rPr>
        <w:t xml:space="preserve"> (</w:t>
      </w:r>
      <w:r w:rsidRPr="005C62DB">
        <w:rPr>
          <w:rFonts w:ascii="Times New Roman" w:eastAsia="Batang" w:hAnsi="Times New Roman" w:cs="Times New Roman"/>
          <w:i/>
          <w:sz w:val="24"/>
          <w:szCs w:val="24"/>
        </w:rPr>
        <w:t>Biographies des moines éminents</w:t>
      </w:r>
      <w:r w:rsidRPr="005C62DB">
        <w:rPr>
          <w:rFonts w:ascii="Times New Roman" w:eastAsia="Batang" w:hAnsi="Times New Roman" w:cs="Times New Roman"/>
          <w:sz w:val="24"/>
          <w:szCs w:val="24"/>
        </w:rPr>
        <w:t>),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publié dans la première moitié du VI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  <w:vertAlign w:val="superscript"/>
        </w:rPr>
        <w:t xml:space="preserve">e 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siècle, </w:t>
      </w:r>
      <w:r w:rsidRPr="005C62DB">
        <w:rPr>
          <w:rFonts w:ascii="Times New Roman" w:eastAsia="Batang" w:hAnsi="Times New Roman" w:cs="Times New Roman"/>
          <w:sz w:val="24"/>
          <w:szCs w:val="24"/>
        </w:rPr>
        <w:t>est le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plus ancien et plus vaste </w:t>
      </w:r>
      <w:r w:rsidR="00B301BA"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recueil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historiographique </w:t>
      </w:r>
      <w:r w:rsidR="00B301BA"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existant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sur le bouddhisme en Chine. </w:t>
      </w:r>
      <w:r w:rsidR="00B8646B"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Il</w:t>
      </w:r>
      <w:r w:rsidR="00B8646B" w:rsidRPr="005C62DB">
        <w:rPr>
          <w:rFonts w:ascii="Times New Roman" w:eastAsia="Batang" w:hAnsi="Times New Roman" w:cs="Times New Roman"/>
          <w:sz w:val="24"/>
          <w:szCs w:val="24"/>
        </w:rPr>
        <w:t xml:space="preserve"> rapporte plusieurs centaines de récits sur des moines chinois et étrangers qui vécurent entre les II</w:t>
      </w:r>
      <w:r w:rsidR="00B8646B" w:rsidRPr="005C62DB">
        <w:rPr>
          <w:rFonts w:ascii="Times New Roman" w:eastAsia="Batang" w:hAnsi="Times New Roman" w:cs="Times New Roman"/>
          <w:sz w:val="24"/>
          <w:szCs w:val="24"/>
          <w:vertAlign w:val="superscript"/>
        </w:rPr>
        <w:t xml:space="preserve">e </w:t>
      </w:r>
      <w:r w:rsidR="00B8646B" w:rsidRPr="005C62DB">
        <w:rPr>
          <w:rFonts w:ascii="Times New Roman" w:eastAsia="Batang" w:hAnsi="Times New Roman" w:cs="Times New Roman"/>
          <w:sz w:val="24"/>
          <w:szCs w:val="24"/>
        </w:rPr>
        <w:t>et VI</w:t>
      </w:r>
      <w:r w:rsidR="00B8646B" w:rsidRPr="005C62DB">
        <w:rPr>
          <w:rFonts w:ascii="Times New Roman" w:eastAsia="Batang" w:hAnsi="Times New Roman" w:cs="Times New Roman"/>
          <w:sz w:val="24"/>
          <w:szCs w:val="24"/>
          <w:vertAlign w:val="superscript"/>
        </w:rPr>
        <w:t>e</w:t>
      </w:r>
      <w:r w:rsidR="00B8646B" w:rsidRPr="005C62DB">
        <w:rPr>
          <w:rFonts w:ascii="Times New Roman" w:eastAsia="Batang" w:hAnsi="Times New Roman" w:cs="Times New Roman"/>
          <w:sz w:val="24"/>
          <w:szCs w:val="24"/>
        </w:rPr>
        <w:t xml:space="preserve"> siècles, </w:t>
      </w:r>
      <w:r w:rsidR="00B8646B"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répartis en dix catégories, </w:t>
      </w:r>
      <w:r w:rsidR="00B301BA"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relat</w:t>
      </w:r>
      <w:r w:rsidR="00B8646B"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a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nt dans un ordre chronologique les hauts faits de leur carrière religieuse, de façon itérative. Ce style a inauguré un genre de récits qui a fait école en Asie orientale.</w:t>
      </w:r>
    </w:p>
    <w:p w:rsidR="006F3870" w:rsidRPr="005C62DB" w:rsidRDefault="001B0F87">
      <w:pPr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S’il ne fait nul doute qu’une image </w:t>
      </w:r>
      <w:r w:rsidRPr="005C62D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stéréotypée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du moine idéal prédomine dans ces récits hagiographiques, une lecture exhaustive de l’ouvrage montre des particularités sous-jacentes propres à certaines des dix catégories. Ma communication soulignera d’abord quelques-unes de ces particularités mises à jour, puis se concentrera sur les biographies des catégories des “maîtres [du chant] des écritures” (</w:t>
      </w:r>
      <w:proofErr w:type="spellStart"/>
      <w:r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jingshi</w:t>
      </w:r>
      <w:proofErr w:type="spellEnd"/>
      <w:r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 xml:space="preserve"> </w:t>
      </w:r>
      <w:r w:rsidRPr="005C62DB">
        <w:rPr>
          <w:rFonts w:ascii="Times New Roman" w:eastAsia="MS Mincho" w:hAnsi="Times New Roman" w:cs="Times New Roman"/>
          <w:color w:val="2A2A2A"/>
          <w:sz w:val="24"/>
          <w:szCs w:val="24"/>
        </w:rPr>
        <w:t>經師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) et des</w:t>
      </w:r>
      <w:r w:rsidR="005F1B0A"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moines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“propagateurs de mérites” (</w:t>
      </w:r>
      <w:proofErr w:type="spellStart"/>
      <w:r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xingfu</w:t>
      </w:r>
      <w:proofErr w:type="spellEnd"/>
      <w:r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 xml:space="preserve"> </w:t>
      </w:r>
      <w:r w:rsidRPr="005C62DB">
        <w:rPr>
          <w:rFonts w:ascii="Times New Roman" w:hAnsi="Times New Roman" w:cs="Times New Roman"/>
          <w:sz w:val="24"/>
          <w:szCs w:val="24"/>
        </w:rPr>
        <w:t>興福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), encore jamais étudiées dans leur ensemble, mettant en relief quelques procédés </w:t>
      </w:r>
      <w:r w:rsidR="00B301BA"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narratifs </w:t>
      </w:r>
      <w:r w:rsidR="00762F34"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qui témoignent d’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un usage nuancé, précis et savant du merveilleux, combinant culture chinois</w:t>
      </w:r>
      <w:r w:rsidR="00762F34"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e et culture bouddhique.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r w:rsidR="00762F34"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Cette mise en relief 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rappel</w:t>
      </w:r>
      <w:r w:rsidR="00762F34"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le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qu’une biographie peut être lue et comprise à plusieurs niveaux.</w:t>
      </w:r>
    </w:p>
    <w:p w:rsidR="00263C8B" w:rsidRPr="005C62DB" w:rsidRDefault="00263C8B">
      <w:pPr>
        <w:rPr>
          <w:rFonts w:ascii="Times New Roman" w:eastAsia="Times New Roman" w:hAnsi="Times New Roman" w:cs="Times New Roman"/>
          <w:color w:val="2A2A2A"/>
          <w:sz w:val="24"/>
          <w:szCs w:val="24"/>
        </w:rPr>
      </w:pPr>
    </w:p>
    <w:p w:rsidR="00D74B02" w:rsidRPr="005C62DB" w:rsidRDefault="008E0A67">
      <w:pPr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val="en-US"/>
        </w:rPr>
      </w:pPr>
      <w:r w:rsidRPr="005C62DB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/>
        </w:rPr>
        <w:t xml:space="preserve">Some observations on the structure and certain narrative mechanisms in the </w:t>
      </w:r>
      <w:proofErr w:type="spellStart"/>
      <w:r w:rsidRPr="005C62DB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val="en-US"/>
        </w:rPr>
        <w:t>Gaoseng</w:t>
      </w:r>
      <w:proofErr w:type="spellEnd"/>
      <w:r w:rsidRPr="005C62DB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val="en-US"/>
        </w:rPr>
        <w:t xml:space="preserve"> </w:t>
      </w:r>
      <w:proofErr w:type="spellStart"/>
      <w:r w:rsidRPr="005C62DB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val="en-US"/>
        </w:rPr>
        <w:t>zhuan</w:t>
      </w:r>
      <w:proofErr w:type="spellEnd"/>
    </w:p>
    <w:p w:rsidR="00D74B02" w:rsidRPr="005C62DB" w:rsidRDefault="00D74B02">
      <w:pPr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</w:pP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The </w:t>
      </w:r>
      <w:proofErr w:type="spellStart"/>
      <w:r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  <w:lang w:val="en-US"/>
        </w:rPr>
        <w:t>Gaoseng</w:t>
      </w:r>
      <w:proofErr w:type="spellEnd"/>
      <w:r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  <w:lang w:val="en-US"/>
        </w:rPr>
        <w:t xml:space="preserve"> </w:t>
      </w:r>
      <w:proofErr w:type="spellStart"/>
      <w:r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  <w:lang w:val="en-US"/>
        </w:rPr>
        <w:t>zhuan</w:t>
      </w:r>
      <w:proofErr w:type="spellEnd"/>
      <w:r w:rsidR="00DC5E50"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  <w:lang w:val="en-US"/>
        </w:rPr>
        <w:t xml:space="preserve"> </w:t>
      </w:r>
      <w:r w:rsidR="00DC5E50" w:rsidRPr="005C62DB">
        <w:rPr>
          <w:rFonts w:ascii="Times New Roman" w:eastAsia="Batang" w:hAnsi="Times New Roman" w:cs="Times New Roman"/>
          <w:sz w:val="24"/>
          <w:szCs w:val="24"/>
        </w:rPr>
        <w:t>高僧傳</w:t>
      </w:r>
      <w:r w:rsidR="00DC5E50" w:rsidRPr="005C62D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(</w:t>
      </w:r>
      <w:r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  <w:lang w:val="en-US"/>
        </w:rPr>
        <w:t>Biographies of eminent monks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), published in the first half of the 6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  <w:vertAlign w:val="superscript"/>
          <w:lang w:val="en-US"/>
        </w:rPr>
        <w:t>th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 century, is the oldest and most extensive historiographical account of Buddhism in China. It records hundreds of stories of foreign and Chinese monks who lived between the 2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  <w:vertAlign w:val="superscript"/>
          <w:lang w:val="en-US"/>
        </w:rPr>
        <w:t>nd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 and the 6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  <w:vertAlign w:val="superscript"/>
          <w:lang w:val="en-US"/>
        </w:rPr>
        <w:t xml:space="preserve">th 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centuries, divided into ten categories, telling in a chronological order the significant </w:t>
      </w:r>
      <w:r w:rsidR="00BE48A0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fact</w:t>
      </w:r>
      <w:r w:rsidR="00F11651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s of their religious care</w:t>
      </w: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er, </w:t>
      </w:r>
      <w:r w:rsidR="001C72FF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in an iterative manner. Such a style initiated a genre of </w:t>
      </w:r>
      <w:r w:rsidR="00AC4E3B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narrative</w:t>
      </w:r>
      <w:r w:rsidR="001C72FF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s which gained widespread importance in East Asia.</w:t>
      </w:r>
    </w:p>
    <w:p w:rsidR="001C72FF" w:rsidRPr="005C62DB" w:rsidRDefault="00DE2A7A">
      <w:pPr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</w:pP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If there is no doubt that a stereotyped image of an idealized monk prevails in these hagiographical accounts, a thorough reading of the whole work reveals underlying peculiarities</w:t>
      </w:r>
      <w:r w:rsidR="00B060F1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 characteristic of certain categories. My paper will</w:t>
      </w:r>
      <w:r w:rsidR="00D33B7C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 begin with emphasizing some of these peculiarities. Then, I will focus on the categories of the “master of [the recitation of] scriptures” (</w:t>
      </w:r>
      <w:proofErr w:type="spellStart"/>
      <w:r w:rsidR="00D33B7C"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  <w:lang w:val="en-US"/>
        </w:rPr>
        <w:t>jingshi</w:t>
      </w:r>
      <w:proofErr w:type="spellEnd"/>
      <w:r w:rsidR="00D33B7C"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  <w:lang w:val="en-US"/>
        </w:rPr>
        <w:t xml:space="preserve"> </w:t>
      </w:r>
      <w:r w:rsidR="00D33B7C" w:rsidRPr="005C62DB">
        <w:rPr>
          <w:rFonts w:ascii="Times New Roman" w:eastAsia="MS Mincho" w:hAnsi="Times New Roman" w:cs="Times New Roman"/>
          <w:color w:val="2A2A2A"/>
          <w:sz w:val="24"/>
          <w:szCs w:val="24"/>
        </w:rPr>
        <w:t>經師</w:t>
      </w:r>
      <w:r w:rsidR="00D33B7C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) and the “promoters of meritorious deeds” (</w:t>
      </w:r>
      <w:proofErr w:type="spellStart"/>
      <w:r w:rsidR="00D33B7C"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  <w:lang w:val="en-US"/>
        </w:rPr>
        <w:t>xingfu</w:t>
      </w:r>
      <w:proofErr w:type="spellEnd"/>
      <w:r w:rsidR="00D33B7C" w:rsidRPr="005C62DB">
        <w:rPr>
          <w:rFonts w:ascii="Times New Roman" w:eastAsia="Times New Roman" w:hAnsi="Times New Roman" w:cs="Times New Roman"/>
          <w:i/>
          <w:color w:val="2A2A2A"/>
          <w:sz w:val="24"/>
          <w:szCs w:val="24"/>
          <w:lang w:val="en-US"/>
        </w:rPr>
        <w:t xml:space="preserve"> </w:t>
      </w:r>
      <w:r w:rsidR="00D33B7C" w:rsidRPr="005C62DB">
        <w:rPr>
          <w:rFonts w:ascii="Times New Roman" w:hAnsi="Times New Roman" w:cs="Times New Roman"/>
          <w:sz w:val="24"/>
          <w:szCs w:val="24"/>
        </w:rPr>
        <w:t>興福</w:t>
      </w:r>
      <w:r w:rsidR="00D33B7C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), not yet studied</w:t>
      </w:r>
      <w:r w:rsidR="00045C36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 as a group</w:t>
      </w:r>
      <w:r w:rsidR="00D33B7C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,</w:t>
      </w:r>
      <w:r w:rsidR="00AC4E3B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 stressing some narrative</w:t>
      </w:r>
      <w:r w:rsidR="00D33B7C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 </w:t>
      </w:r>
      <w:r w:rsidR="00045C36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mechanisms</w:t>
      </w:r>
      <w:r w:rsidR="00AC4E3B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 attesting </w:t>
      </w:r>
      <w:r w:rsidR="00045C36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to </w:t>
      </w:r>
      <w:r w:rsidR="00AC4E3B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a nuanced, precise and scho</w:t>
      </w:r>
      <w:r w:rsidR="00CB68C3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larly usage of the supernatural, which combines Buddhist and Chinese knowledge. This reminds us that a biography is to be read and comprehend</w:t>
      </w:r>
      <w:r w:rsidR="00045C36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>ed</w:t>
      </w:r>
      <w:r w:rsidR="00CB68C3" w:rsidRPr="005C62DB"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  <w:t xml:space="preserve"> at different levels.</w:t>
      </w:r>
    </w:p>
    <w:p w:rsidR="00085D2C" w:rsidRPr="005C62DB" w:rsidRDefault="00085D2C">
      <w:pPr>
        <w:rPr>
          <w:rFonts w:ascii="Times New Roman" w:eastAsia="Times New Roman" w:hAnsi="Times New Roman" w:cs="Times New Roman"/>
          <w:color w:val="2A2A2A"/>
          <w:sz w:val="24"/>
          <w:szCs w:val="24"/>
          <w:lang w:val="en-US"/>
        </w:rPr>
      </w:pPr>
      <w:bookmarkStart w:id="0" w:name="_GoBack"/>
      <w:bookmarkEnd w:id="0"/>
    </w:p>
    <w:p w:rsidR="002049A0" w:rsidRPr="005C62DB" w:rsidRDefault="002049A0" w:rsidP="002049A0">
      <w:pPr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5C62DB">
        <w:rPr>
          <w:rFonts w:ascii="Times New Roman" w:eastAsia="Times New Roman" w:hAnsi="Times New Roman" w:cs="Times New Roman"/>
          <w:color w:val="2A2A2A"/>
          <w:sz w:val="24"/>
          <w:szCs w:val="24"/>
        </w:rPr>
        <w:t>Mots clés : biographies ; historiographie ; moines bouddhiques ; Chine </w:t>
      </w:r>
    </w:p>
    <w:p w:rsidR="002049A0" w:rsidRPr="005C62DB" w:rsidRDefault="002049A0">
      <w:pPr>
        <w:rPr>
          <w:rFonts w:ascii="Times New Roman" w:eastAsia="Times New Roman" w:hAnsi="Times New Roman" w:cs="Times New Roman"/>
          <w:color w:val="2A2A2A"/>
          <w:sz w:val="24"/>
          <w:szCs w:val="24"/>
        </w:rPr>
      </w:pPr>
    </w:p>
    <w:sectPr w:rsidR="002049A0" w:rsidRPr="005C62DB" w:rsidSect="000F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BE"/>
    <w:rsid w:val="00043785"/>
    <w:rsid w:val="00045C36"/>
    <w:rsid w:val="000644C3"/>
    <w:rsid w:val="00085D2C"/>
    <w:rsid w:val="000F6DD9"/>
    <w:rsid w:val="001B0F87"/>
    <w:rsid w:val="001C2319"/>
    <w:rsid w:val="001C72FF"/>
    <w:rsid w:val="001D1B05"/>
    <w:rsid w:val="001F31FC"/>
    <w:rsid w:val="002049A0"/>
    <w:rsid w:val="00263C8B"/>
    <w:rsid w:val="00336E59"/>
    <w:rsid w:val="003E1167"/>
    <w:rsid w:val="004A4E61"/>
    <w:rsid w:val="00523FBA"/>
    <w:rsid w:val="005C62DB"/>
    <w:rsid w:val="005D642B"/>
    <w:rsid w:val="005F1B0A"/>
    <w:rsid w:val="00680865"/>
    <w:rsid w:val="006A0AB2"/>
    <w:rsid w:val="006A7F2A"/>
    <w:rsid w:val="006F3870"/>
    <w:rsid w:val="00756266"/>
    <w:rsid w:val="00762F34"/>
    <w:rsid w:val="007D1B2E"/>
    <w:rsid w:val="007F41AC"/>
    <w:rsid w:val="008447E0"/>
    <w:rsid w:val="008654F1"/>
    <w:rsid w:val="008E0A67"/>
    <w:rsid w:val="008F5A93"/>
    <w:rsid w:val="00943B66"/>
    <w:rsid w:val="00956D81"/>
    <w:rsid w:val="00994121"/>
    <w:rsid w:val="00A56B65"/>
    <w:rsid w:val="00AA3FD9"/>
    <w:rsid w:val="00AC4E3B"/>
    <w:rsid w:val="00AD454B"/>
    <w:rsid w:val="00B043F8"/>
    <w:rsid w:val="00B060F1"/>
    <w:rsid w:val="00B301BA"/>
    <w:rsid w:val="00B42A73"/>
    <w:rsid w:val="00B8646B"/>
    <w:rsid w:val="00BB70A0"/>
    <w:rsid w:val="00BC2E94"/>
    <w:rsid w:val="00BE48A0"/>
    <w:rsid w:val="00C50D1F"/>
    <w:rsid w:val="00CB46F5"/>
    <w:rsid w:val="00CB68C3"/>
    <w:rsid w:val="00D33B7C"/>
    <w:rsid w:val="00D40718"/>
    <w:rsid w:val="00D53A96"/>
    <w:rsid w:val="00D74B02"/>
    <w:rsid w:val="00D9103D"/>
    <w:rsid w:val="00DC5E50"/>
    <w:rsid w:val="00DE2A7A"/>
    <w:rsid w:val="00DE5804"/>
    <w:rsid w:val="00F11651"/>
    <w:rsid w:val="00F207BE"/>
    <w:rsid w:val="00F37841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3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6E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3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A3FD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336E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336E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3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6E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3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A3FD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336E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336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</dc:creator>
  <cp:lastModifiedBy>sylvie</cp:lastModifiedBy>
  <cp:revision>9</cp:revision>
  <dcterms:created xsi:type="dcterms:W3CDTF">2015-02-20T22:34:00Z</dcterms:created>
  <dcterms:modified xsi:type="dcterms:W3CDTF">2015-02-26T23:18:00Z</dcterms:modified>
</cp:coreProperties>
</file>