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BF" w:rsidRPr="00930165" w:rsidRDefault="00A320BF" w:rsidP="00A320BF">
      <w:pPr>
        <w:rPr>
          <w:rFonts w:ascii="Times New Roman" w:hAnsi="Times New Roman"/>
          <w:color w:val="000000"/>
          <w:lang w:val="en-US"/>
        </w:rPr>
      </w:pPr>
      <w:r>
        <w:rPr>
          <w:rFonts w:asciiTheme="majorHAnsi" w:eastAsia="Times New Roman" w:hAnsiTheme="majorHAnsi"/>
          <w:b/>
          <w:color w:val="660066"/>
          <w:sz w:val="28"/>
          <w:szCs w:val="28"/>
        </w:rPr>
        <w:t xml:space="preserve">Les salons de thé, « patrimoine national » ? </w:t>
      </w:r>
    </w:p>
    <w:p w:rsidR="00A320BF" w:rsidRPr="008C7C39" w:rsidRDefault="00A320BF" w:rsidP="00A320BF">
      <w:pPr>
        <w:rPr>
          <w:rFonts w:asciiTheme="majorHAnsi" w:eastAsia="Times New Roman" w:hAnsiTheme="majorHAnsi"/>
          <w:b/>
          <w:color w:val="660066"/>
          <w:sz w:val="28"/>
          <w:szCs w:val="28"/>
        </w:rPr>
      </w:pPr>
      <w:r w:rsidRPr="008C7C39">
        <w:rPr>
          <w:rFonts w:asciiTheme="majorHAnsi" w:eastAsia="Times New Roman" w:hAnsiTheme="majorHAnsi"/>
          <w:b/>
          <w:color w:val="660066"/>
          <w:sz w:val="28"/>
          <w:szCs w:val="28"/>
        </w:rPr>
        <w:t>Discours patrimoniaux</w:t>
      </w:r>
      <w:r>
        <w:rPr>
          <w:rFonts w:asciiTheme="majorHAnsi" w:eastAsia="Times New Roman" w:hAnsiTheme="majorHAnsi"/>
          <w:b/>
          <w:color w:val="660066"/>
          <w:sz w:val="28"/>
          <w:szCs w:val="28"/>
        </w:rPr>
        <w:t xml:space="preserve"> des années 1930</w:t>
      </w:r>
      <w:r w:rsidRPr="008C7C39">
        <w:rPr>
          <w:rFonts w:asciiTheme="majorHAnsi" w:eastAsia="Times New Roman" w:hAnsiTheme="majorHAnsi"/>
          <w:b/>
          <w:color w:val="660066"/>
          <w:sz w:val="28"/>
          <w:szCs w:val="28"/>
        </w:rPr>
        <w:t xml:space="preserve"> au Japon </w:t>
      </w:r>
    </w:p>
    <w:p w:rsidR="00A320BF" w:rsidRPr="008C7C39" w:rsidRDefault="00A320BF" w:rsidP="00A320BF">
      <w:pPr>
        <w:jc w:val="both"/>
        <w:rPr>
          <w:rFonts w:cs="Arial"/>
          <w:color w:val="3F3F3F"/>
          <w:sz w:val="22"/>
          <w:szCs w:val="22"/>
          <w:lang w:val="en-US"/>
        </w:rPr>
      </w:pPr>
    </w:p>
    <w:p w:rsidR="00A320BF" w:rsidRDefault="00A320BF" w:rsidP="00A320BF">
      <w:pPr>
        <w:jc w:val="both"/>
        <w:rPr>
          <w:rFonts w:cs="Arial"/>
          <w:color w:val="3F3F3F"/>
        </w:rPr>
      </w:pPr>
      <w:r w:rsidRPr="008C7C39">
        <w:rPr>
          <w:rFonts w:cs="Arial"/>
          <w:b/>
          <w:color w:val="3F3F3F"/>
        </w:rPr>
        <w:t>Mariko Naito</w:t>
      </w:r>
      <w:r>
        <w:rPr>
          <w:rFonts w:cs="Arial"/>
          <w:b/>
          <w:color w:val="3F3F3F"/>
        </w:rPr>
        <w:t xml:space="preserve">, </w:t>
      </w:r>
      <w:r>
        <w:rPr>
          <w:rFonts w:cs="Arial"/>
          <w:color w:val="3F3F3F"/>
        </w:rPr>
        <w:t xml:space="preserve">Meiji University </w:t>
      </w:r>
    </w:p>
    <w:p w:rsidR="00A320BF" w:rsidRDefault="00A320BF" w:rsidP="00A320BF">
      <w:pPr>
        <w:jc w:val="both"/>
        <w:rPr>
          <w:rFonts w:cs="Arial"/>
          <w:color w:val="3F3F3F"/>
        </w:rPr>
      </w:pPr>
      <w:hyperlink r:id="rId5" w:history="1">
        <w:r w:rsidRPr="00C20D0D">
          <w:rPr>
            <w:rStyle w:val="a3"/>
            <w:rFonts w:cs="Arial"/>
          </w:rPr>
          <w:t>naitomariko@gmail.com</w:t>
        </w:r>
      </w:hyperlink>
      <w:r>
        <w:rPr>
          <w:rFonts w:cs="Arial"/>
          <w:color w:val="3F3F3F"/>
        </w:rPr>
        <w:t xml:space="preserve"> </w:t>
      </w:r>
    </w:p>
    <w:p w:rsidR="00A320BF" w:rsidRDefault="00A320BF" w:rsidP="00A320BF">
      <w:pPr>
        <w:jc w:val="both"/>
        <w:rPr>
          <w:rFonts w:cs="Arial"/>
          <w:color w:val="3F3F3F"/>
        </w:rPr>
      </w:pPr>
    </w:p>
    <w:p w:rsidR="00A320BF" w:rsidRPr="008C7C39" w:rsidRDefault="00A320BF" w:rsidP="00A320BF">
      <w:pPr>
        <w:jc w:val="both"/>
        <w:rPr>
          <w:rFonts w:asciiTheme="majorHAnsi" w:eastAsia="Times New Roman" w:hAnsiTheme="majorHAnsi"/>
          <w:sz w:val="22"/>
          <w:szCs w:val="22"/>
        </w:rPr>
      </w:pPr>
      <w:r w:rsidRPr="008C7C39">
        <w:rPr>
          <w:rFonts w:asciiTheme="majorHAnsi" w:eastAsia="Times New Roman" w:hAnsiTheme="majorHAnsi"/>
          <w:sz w:val="22"/>
          <w:szCs w:val="22"/>
        </w:rPr>
        <w:t>Cette contribution explore l’interaction des langues et des individus dans la construction de discours patrimoniaux au Japon à l’époque moderne. Plus précisément, je dirigerai mon attention sur les salons de thé, à savoir des espaces architecturaux destinés à la cérémonie du thé, une pratique devenue populaire au Japon entre le 16</w:t>
      </w:r>
      <w:r w:rsidRPr="008C7C39">
        <w:rPr>
          <w:rFonts w:asciiTheme="majorHAnsi" w:eastAsia="Times New Roman" w:hAnsiTheme="majorHAnsi"/>
          <w:sz w:val="22"/>
          <w:szCs w:val="22"/>
          <w:vertAlign w:val="superscript"/>
        </w:rPr>
        <w:t>e</w:t>
      </w:r>
      <w:r w:rsidRPr="008C7C39">
        <w:rPr>
          <w:rFonts w:asciiTheme="majorHAnsi" w:eastAsia="Times New Roman" w:hAnsiTheme="majorHAnsi"/>
          <w:sz w:val="22"/>
          <w:szCs w:val="22"/>
        </w:rPr>
        <w:t xml:space="preserve"> et le 18</w:t>
      </w:r>
      <w:r w:rsidRPr="008C7C39">
        <w:rPr>
          <w:rFonts w:asciiTheme="majorHAnsi" w:eastAsia="Times New Roman" w:hAnsiTheme="majorHAnsi"/>
          <w:sz w:val="22"/>
          <w:szCs w:val="22"/>
          <w:vertAlign w:val="superscript"/>
        </w:rPr>
        <w:t>e</w:t>
      </w:r>
      <w:r w:rsidRPr="008C7C39">
        <w:rPr>
          <w:rFonts w:asciiTheme="majorHAnsi" w:eastAsia="Times New Roman" w:hAnsiTheme="majorHAnsi"/>
          <w:sz w:val="22"/>
          <w:szCs w:val="22"/>
        </w:rPr>
        <w:t xml:space="preserve"> siècle. J’étudierai les échanges entre architectes internationaux et domestiques qui, dans les années 1930, ont permis à certains salons de thé d’atteindre le statut de « patrimoine national ». Premièrement, j’illustrerai la façon dont les architectes étrangers qui ont visité le Japon ont certifié l’authenticité des salons de thé en tant que patrimoine japonais. L’usage des langues occidentales a joué un rôle important dans la définition des qualificatifs du patrimoine national. Deuxièmement, j’illustrerai les contestations entre architectes japonais, intellectuels, et pratiquants de la cérémonie du thé concernant la légitimité des salons de thé. Les acteurs japonais ont transformé les « discours autorisés sur le patrimoine » en japonais, en mettant l’accent sur les valeurs ambiguës et contestées qui décrivent l’identité japonaise. Enfin, j’expliquerai que les discours patrimoniaux produits à travers l’interaction entre langues internationales et domestique, et entre individus impliqués dans la patrimonialisation, révèlent la complexité et la fluidité de la construction de l’identités nationale japonaise.    </w:t>
      </w:r>
    </w:p>
    <w:p w:rsidR="00A320BF" w:rsidRPr="008C7C39" w:rsidRDefault="00A320BF" w:rsidP="00A320BF">
      <w:pPr>
        <w:jc w:val="both"/>
        <w:rPr>
          <w:rFonts w:cs="Arial"/>
          <w:color w:val="3F3F3F"/>
        </w:rPr>
      </w:pPr>
    </w:p>
    <w:p w:rsidR="00A320BF" w:rsidRDefault="00A320BF" w:rsidP="00A320BF">
      <w:pPr>
        <w:jc w:val="both"/>
        <w:rPr>
          <w:sz w:val="22"/>
          <w:szCs w:val="22"/>
        </w:rPr>
      </w:pPr>
      <w:r w:rsidRPr="00AB3A27">
        <w:rPr>
          <w:sz w:val="22"/>
          <w:szCs w:val="22"/>
          <w:u w:val="single"/>
        </w:rPr>
        <w:t>Champ(s) scientifique(s) </w:t>
      </w:r>
      <w:r w:rsidRPr="00AB3A27">
        <w:rPr>
          <w:sz w:val="22"/>
          <w:szCs w:val="22"/>
        </w:rPr>
        <w:t>:</w:t>
      </w:r>
      <w:r>
        <w:rPr>
          <w:sz w:val="22"/>
          <w:szCs w:val="22"/>
        </w:rPr>
        <w:t xml:space="preserve"> Études japonaises et études culturelles </w:t>
      </w:r>
    </w:p>
    <w:p w:rsidR="00A320BF" w:rsidRDefault="00A320BF" w:rsidP="00A320BF">
      <w:pPr>
        <w:jc w:val="both"/>
        <w:rPr>
          <w:sz w:val="22"/>
          <w:szCs w:val="22"/>
        </w:rPr>
      </w:pPr>
    </w:p>
    <w:p w:rsidR="00A320BF" w:rsidRPr="008C7C39" w:rsidRDefault="00A320BF" w:rsidP="00A320BF">
      <w:pPr>
        <w:rPr>
          <w:rFonts w:asciiTheme="majorHAnsi" w:eastAsia="Times New Roman" w:hAnsiTheme="majorHAnsi"/>
          <w:b/>
          <w:color w:val="660066"/>
          <w:sz w:val="28"/>
          <w:szCs w:val="28"/>
          <w:lang w:val="en-US"/>
        </w:rPr>
      </w:pPr>
      <w:r w:rsidRPr="008C7C39">
        <w:rPr>
          <w:rFonts w:asciiTheme="majorHAnsi" w:eastAsia="Times New Roman" w:hAnsiTheme="majorHAnsi"/>
          <w:b/>
          <w:color w:val="660066"/>
          <w:sz w:val="28"/>
          <w:szCs w:val="28"/>
          <w:lang w:val="en-US"/>
        </w:rPr>
        <w:t xml:space="preserve">Tea Rooms as “National Heritage”? : </w:t>
      </w:r>
    </w:p>
    <w:p w:rsidR="00A320BF" w:rsidRPr="008C7C39" w:rsidRDefault="00A320BF" w:rsidP="00A320BF">
      <w:pPr>
        <w:rPr>
          <w:rFonts w:asciiTheme="majorHAnsi" w:eastAsia="Times New Roman" w:hAnsiTheme="majorHAnsi"/>
          <w:b/>
          <w:color w:val="660066"/>
          <w:sz w:val="28"/>
          <w:szCs w:val="28"/>
          <w:lang w:val="en-US"/>
        </w:rPr>
      </w:pPr>
      <w:r w:rsidRPr="008C7C39">
        <w:rPr>
          <w:rFonts w:asciiTheme="majorHAnsi" w:eastAsia="Times New Roman" w:hAnsiTheme="majorHAnsi"/>
          <w:b/>
          <w:color w:val="660066"/>
          <w:sz w:val="28"/>
          <w:szCs w:val="28"/>
          <w:lang w:val="en-US"/>
        </w:rPr>
        <w:t>Heritage Discourses in 1930’s Japan</w:t>
      </w:r>
    </w:p>
    <w:p w:rsidR="00A320BF" w:rsidRPr="008C7C39" w:rsidRDefault="00A320BF" w:rsidP="00A320BF">
      <w:pPr>
        <w:jc w:val="both"/>
        <w:rPr>
          <w:rFonts w:cs="Arial"/>
          <w:color w:val="3F3F3F"/>
          <w:sz w:val="22"/>
          <w:szCs w:val="22"/>
          <w:lang w:val="en-US"/>
        </w:rPr>
      </w:pPr>
    </w:p>
    <w:p w:rsidR="00A320BF" w:rsidRPr="008C7C39" w:rsidRDefault="00A320BF" w:rsidP="00A320BF">
      <w:pPr>
        <w:jc w:val="both"/>
        <w:rPr>
          <w:rFonts w:ascii="Times New Roman" w:eastAsia="Times New Roman" w:hAnsi="Times New Roman"/>
          <w:lang w:val="en-US"/>
        </w:rPr>
      </w:pPr>
      <w:r w:rsidRPr="008C7C39">
        <w:rPr>
          <w:rFonts w:ascii="Times New Roman" w:eastAsia="Times New Roman" w:hAnsi="Times New Roman"/>
          <w:lang w:val="en-US"/>
        </w:rPr>
        <w:t xml:space="preserve">My paper explores the interplay of different languages and different interested individuals </w:t>
      </w:r>
      <w:r w:rsidRPr="008C7C39">
        <w:rPr>
          <w:rFonts w:ascii="Times New Roman" w:hAnsi="Times New Roman" w:hint="eastAsia"/>
          <w:lang w:val="en-US"/>
        </w:rPr>
        <w:t xml:space="preserve">or parties </w:t>
      </w:r>
      <w:r w:rsidRPr="008C7C39">
        <w:rPr>
          <w:rFonts w:ascii="Times New Roman" w:eastAsia="Times New Roman" w:hAnsi="Times New Roman"/>
          <w:lang w:val="en-US"/>
        </w:rPr>
        <w:t xml:space="preserve">that </w:t>
      </w:r>
      <w:r w:rsidRPr="008C7C39">
        <w:rPr>
          <w:rFonts w:ascii="Times New Roman" w:hAnsi="Times New Roman" w:hint="eastAsia"/>
          <w:lang w:val="en-US"/>
        </w:rPr>
        <w:t xml:space="preserve">have </w:t>
      </w:r>
      <w:r w:rsidRPr="008C7C39">
        <w:rPr>
          <w:rFonts w:ascii="Times New Roman" w:eastAsia="Times New Roman" w:hAnsi="Times New Roman"/>
          <w:lang w:val="en-US"/>
        </w:rPr>
        <w:t>constructed heritage discourses in modern Japan. More precisely, I focus on tea rooms</w:t>
      </w:r>
      <w:r w:rsidRPr="008C7C39">
        <w:rPr>
          <w:rFonts w:ascii="Times New Roman" w:hAnsi="Times New Roman" w:hint="eastAsia"/>
          <w:lang w:val="en-US"/>
        </w:rPr>
        <w:t>,</w:t>
      </w:r>
      <w:r w:rsidRPr="008C7C39">
        <w:rPr>
          <w:rFonts w:ascii="Times New Roman" w:eastAsia="Times New Roman" w:hAnsi="Times New Roman"/>
          <w:lang w:val="en-US"/>
        </w:rPr>
        <w:t xml:space="preserve"> architectural spaces designed for </w:t>
      </w:r>
      <w:r w:rsidRPr="008C7C39">
        <w:rPr>
          <w:rFonts w:ascii="Times New Roman" w:hAnsi="Times New Roman" w:hint="eastAsia"/>
          <w:lang w:val="en-US"/>
        </w:rPr>
        <w:t xml:space="preserve">the </w:t>
      </w:r>
      <w:r w:rsidRPr="008C7C39">
        <w:rPr>
          <w:rFonts w:ascii="Times New Roman" w:eastAsia="Times New Roman" w:hAnsi="Times New Roman"/>
          <w:lang w:val="en-US"/>
        </w:rPr>
        <w:t xml:space="preserve">tea ceremony, </w:t>
      </w:r>
      <w:r w:rsidRPr="008C7C39">
        <w:rPr>
          <w:rFonts w:ascii="Times New Roman" w:hAnsi="Times New Roman" w:hint="eastAsia"/>
          <w:lang w:val="en-US"/>
        </w:rPr>
        <w:t xml:space="preserve">a practice which became </w:t>
      </w:r>
      <w:r w:rsidRPr="008C7C39">
        <w:rPr>
          <w:rFonts w:ascii="Times New Roman" w:eastAsia="Times New Roman" w:hAnsi="Times New Roman"/>
          <w:lang w:val="en-US"/>
        </w:rPr>
        <w:t xml:space="preserve">popular </w:t>
      </w:r>
      <w:r w:rsidRPr="008C7C39">
        <w:rPr>
          <w:rFonts w:ascii="Times New Roman" w:hAnsi="Times New Roman" w:hint="eastAsia"/>
          <w:lang w:val="en-US"/>
        </w:rPr>
        <w:t xml:space="preserve">in Japan over </w:t>
      </w:r>
      <w:r w:rsidRPr="008C7C39">
        <w:rPr>
          <w:rFonts w:ascii="Times New Roman" w:hAnsi="Times New Roman"/>
          <w:lang w:val="en-US"/>
        </w:rPr>
        <w:t>the</w:t>
      </w:r>
      <w:r w:rsidRPr="008C7C39">
        <w:rPr>
          <w:rFonts w:ascii="Times New Roman" w:hAnsi="Times New Roman" w:hint="eastAsia"/>
          <w:lang w:val="en-US"/>
        </w:rPr>
        <w:t xml:space="preserve"> sixteenth to eighteenth </w:t>
      </w:r>
      <w:r w:rsidRPr="008C7C39">
        <w:rPr>
          <w:rFonts w:ascii="Times New Roman" w:eastAsia="Times New Roman" w:hAnsi="Times New Roman"/>
          <w:lang w:val="en-US"/>
        </w:rPr>
        <w:t>centur</w:t>
      </w:r>
      <w:r w:rsidRPr="008C7C39">
        <w:rPr>
          <w:rFonts w:ascii="Times New Roman" w:hAnsi="Times New Roman" w:hint="eastAsia"/>
          <w:lang w:val="en-US"/>
        </w:rPr>
        <w:t xml:space="preserve">ies. I </w:t>
      </w:r>
      <w:r w:rsidRPr="008C7C39">
        <w:rPr>
          <w:rFonts w:ascii="Times New Roman" w:hAnsi="Times New Roman"/>
          <w:lang w:val="en-US"/>
        </w:rPr>
        <w:t>consider</w:t>
      </w:r>
      <w:r w:rsidRPr="008C7C39">
        <w:rPr>
          <w:rFonts w:ascii="Times New Roman" w:hAnsi="Times New Roman" w:hint="eastAsia"/>
          <w:lang w:val="en-US"/>
        </w:rPr>
        <w:t xml:space="preserve"> </w:t>
      </w:r>
      <w:r w:rsidRPr="008C7C39">
        <w:rPr>
          <w:rFonts w:ascii="Times New Roman" w:eastAsia="Times New Roman" w:hAnsi="Times New Roman"/>
          <w:lang w:val="en-US"/>
        </w:rPr>
        <w:t xml:space="preserve">how some historical tea rooms exclusively achieved the status of </w:t>
      </w:r>
      <w:r w:rsidRPr="008C7C39">
        <w:rPr>
          <w:rFonts w:ascii="Times New Roman" w:hAnsi="Times New Roman"/>
          <w:lang w:val="en-US"/>
        </w:rPr>
        <w:t>“</w:t>
      </w:r>
      <w:r w:rsidRPr="008C7C39">
        <w:rPr>
          <w:rFonts w:ascii="Times New Roman" w:eastAsia="Times New Roman" w:hAnsi="Times New Roman"/>
          <w:lang w:val="en-US"/>
        </w:rPr>
        <w:t>national heritage</w:t>
      </w:r>
      <w:r w:rsidRPr="008C7C39">
        <w:rPr>
          <w:rFonts w:ascii="Times New Roman" w:hAnsi="Times New Roman"/>
          <w:lang w:val="en-US"/>
        </w:rPr>
        <w:t>”</w:t>
      </w:r>
      <w:r w:rsidRPr="008C7C39">
        <w:rPr>
          <w:rFonts w:ascii="Times New Roman" w:eastAsia="Times New Roman" w:hAnsi="Times New Roman"/>
          <w:lang w:val="en-US"/>
        </w:rPr>
        <w:t xml:space="preserve"> through dialogues between international and domestic architects in </w:t>
      </w:r>
      <w:r w:rsidRPr="008C7C39">
        <w:rPr>
          <w:rFonts w:ascii="Times New Roman" w:hAnsi="Times New Roman" w:hint="eastAsia"/>
          <w:lang w:val="en-US"/>
        </w:rPr>
        <w:t xml:space="preserve">the </w:t>
      </w:r>
      <w:r w:rsidRPr="008C7C39">
        <w:rPr>
          <w:rFonts w:ascii="Times New Roman" w:eastAsia="Times New Roman" w:hAnsi="Times New Roman"/>
          <w:lang w:val="en-US"/>
        </w:rPr>
        <w:t xml:space="preserve">1930s. </w:t>
      </w:r>
    </w:p>
    <w:p w:rsidR="00A320BF" w:rsidRPr="008C7C39" w:rsidRDefault="00A320BF" w:rsidP="00A320BF">
      <w:pPr>
        <w:jc w:val="both"/>
        <w:rPr>
          <w:rFonts w:ascii="Times New Roman" w:eastAsia="Times New Roman" w:hAnsi="Times New Roman"/>
          <w:lang w:val="en-US"/>
        </w:rPr>
      </w:pPr>
      <w:r w:rsidRPr="008C7C39">
        <w:rPr>
          <w:rFonts w:ascii="Times New Roman" w:eastAsia="Times New Roman" w:hAnsi="Times New Roman"/>
          <w:lang w:val="en-US"/>
        </w:rPr>
        <w:t xml:space="preserve">First, I illustrate how foreign architects </w:t>
      </w:r>
      <w:r w:rsidRPr="008C7C39">
        <w:rPr>
          <w:rFonts w:ascii="Times New Roman" w:hAnsi="Times New Roman"/>
          <w:lang w:val="en-US"/>
        </w:rPr>
        <w:t>visit</w:t>
      </w:r>
      <w:r w:rsidRPr="008C7C39">
        <w:rPr>
          <w:rFonts w:ascii="Times New Roman" w:hAnsi="Times New Roman" w:hint="eastAsia"/>
          <w:lang w:val="en-US"/>
        </w:rPr>
        <w:t xml:space="preserve">ing </w:t>
      </w:r>
      <w:r w:rsidRPr="008C7C39">
        <w:rPr>
          <w:rFonts w:ascii="Times New Roman" w:eastAsia="Times New Roman" w:hAnsi="Times New Roman"/>
          <w:lang w:val="en-US"/>
        </w:rPr>
        <w:t xml:space="preserve">Japan in </w:t>
      </w:r>
      <w:r w:rsidRPr="008C7C39">
        <w:rPr>
          <w:rFonts w:ascii="Times New Roman" w:hAnsi="Times New Roman" w:hint="eastAsia"/>
          <w:lang w:val="en-US"/>
        </w:rPr>
        <w:t xml:space="preserve">the </w:t>
      </w:r>
      <w:r w:rsidRPr="008C7C39">
        <w:rPr>
          <w:rFonts w:ascii="Times New Roman" w:eastAsia="Times New Roman" w:hAnsi="Times New Roman"/>
          <w:lang w:val="en-US"/>
        </w:rPr>
        <w:t>1930s certified the authenticity of the tea rooms as Japanese heritage. I argue that Western languages played an important role in defining what qualifies or does not qualify as national heritage.</w:t>
      </w:r>
    </w:p>
    <w:p w:rsidR="00A320BF" w:rsidRPr="008C7C39" w:rsidRDefault="00A320BF" w:rsidP="00A320BF">
      <w:pPr>
        <w:jc w:val="both"/>
        <w:rPr>
          <w:rFonts w:ascii="Times New Roman" w:eastAsia="Times New Roman" w:hAnsi="Times New Roman"/>
          <w:lang w:val="en-US"/>
        </w:rPr>
      </w:pPr>
      <w:r w:rsidRPr="008C7C39">
        <w:rPr>
          <w:rFonts w:ascii="Times New Roman" w:eastAsia="Times New Roman" w:hAnsi="Times New Roman"/>
          <w:lang w:val="en-US"/>
        </w:rPr>
        <w:t xml:space="preserve">Then I </w:t>
      </w:r>
      <w:r w:rsidRPr="008C7C39">
        <w:rPr>
          <w:rStyle w:val="st"/>
          <w:rFonts w:ascii="Times New Roman" w:eastAsia="Times New Roman" w:hAnsi="Times New Roman"/>
          <w:lang w:val="en-US"/>
        </w:rPr>
        <w:t xml:space="preserve">illustrate </w:t>
      </w:r>
      <w:r w:rsidRPr="008C7C39">
        <w:rPr>
          <w:rFonts w:ascii="Times New Roman" w:eastAsia="Times New Roman" w:hAnsi="Times New Roman"/>
          <w:lang w:val="en-US"/>
        </w:rPr>
        <w:t xml:space="preserve">contestations among </w:t>
      </w:r>
      <w:r w:rsidRPr="008C7C39">
        <w:rPr>
          <w:rStyle w:val="st"/>
          <w:rFonts w:ascii="Times New Roman" w:eastAsia="Times New Roman" w:hAnsi="Times New Roman"/>
          <w:lang w:val="en-US"/>
        </w:rPr>
        <w:t>domestic</w:t>
      </w:r>
      <w:r w:rsidRPr="008C7C39">
        <w:rPr>
          <w:rFonts w:ascii="Times New Roman" w:eastAsia="Times New Roman" w:hAnsi="Times New Roman"/>
          <w:lang w:val="en-US"/>
        </w:rPr>
        <w:t xml:space="preserve"> </w:t>
      </w:r>
      <w:r w:rsidRPr="008C7C39">
        <w:rPr>
          <w:rFonts w:ascii="Times New Roman" w:hAnsi="Times New Roman" w:hint="eastAsia"/>
          <w:lang w:val="en-US"/>
        </w:rPr>
        <w:t xml:space="preserve">Japanese </w:t>
      </w:r>
      <w:r w:rsidRPr="008C7C39">
        <w:rPr>
          <w:rFonts w:ascii="Times New Roman" w:eastAsia="Times New Roman" w:hAnsi="Times New Roman"/>
          <w:lang w:val="en-US"/>
        </w:rPr>
        <w:t>architects</w:t>
      </w:r>
      <w:r w:rsidRPr="008C7C39">
        <w:rPr>
          <w:rStyle w:val="st"/>
          <w:rFonts w:ascii="Times New Roman" w:eastAsia="Times New Roman" w:hAnsi="Times New Roman"/>
          <w:lang w:val="en-US"/>
        </w:rPr>
        <w:t>,</w:t>
      </w:r>
      <w:r w:rsidRPr="008C7C39">
        <w:rPr>
          <w:rFonts w:ascii="Times New Roman" w:eastAsia="Times New Roman" w:hAnsi="Times New Roman"/>
          <w:lang w:val="en-US"/>
        </w:rPr>
        <w:t xml:space="preserve"> intellectuals and practitioners of tea ceremony regarding the legitimacy of the tea rooms. I demonstrate how domestic </w:t>
      </w:r>
      <w:r w:rsidRPr="008C7C39">
        <w:rPr>
          <w:rFonts w:ascii="Times New Roman" w:hAnsi="Times New Roman" w:hint="eastAsia"/>
          <w:lang w:val="en-US"/>
        </w:rPr>
        <w:t xml:space="preserve">Japanese </w:t>
      </w:r>
      <w:r w:rsidRPr="008C7C39">
        <w:rPr>
          <w:rFonts w:ascii="Times New Roman" w:eastAsia="Times New Roman" w:hAnsi="Times New Roman"/>
          <w:lang w:val="en-US"/>
        </w:rPr>
        <w:t xml:space="preserve">stakeholders transformed authorized heritage discourses produced by foreign architects in </w:t>
      </w:r>
      <w:r w:rsidRPr="008C7C39">
        <w:rPr>
          <w:rFonts w:ascii="Times New Roman" w:hAnsi="Times New Roman" w:hint="eastAsia"/>
          <w:lang w:val="en-US"/>
        </w:rPr>
        <w:t>Japanese</w:t>
      </w:r>
      <w:r w:rsidRPr="008C7C39">
        <w:rPr>
          <w:rFonts w:ascii="Times New Roman" w:eastAsia="Times New Roman" w:hAnsi="Times New Roman"/>
          <w:lang w:val="en-US"/>
        </w:rPr>
        <w:t xml:space="preserve"> </w:t>
      </w:r>
      <w:r w:rsidRPr="008C7C39">
        <w:rPr>
          <w:rFonts w:ascii="Times New Roman" w:hAnsi="Times New Roman" w:hint="eastAsia"/>
          <w:lang w:val="en-US"/>
        </w:rPr>
        <w:t xml:space="preserve">by revealing the ambiguous and contested meanings used to describe </w:t>
      </w:r>
      <w:r w:rsidRPr="008C7C39">
        <w:rPr>
          <w:rStyle w:val="st"/>
          <w:rFonts w:ascii="Times New Roman" w:eastAsia="Times New Roman" w:hAnsi="Times New Roman"/>
          <w:lang w:val="en-US"/>
        </w:rPr>
        <w:t>“Japan-ness”</w:t>
      </w:r>
      <w:r w:rsidRPr="008C7C39">
        <w:rPr>
          <w:rFonts w:ascii="Times New Roman" w:eastAsia="Times New Roman" w:hAnsi="Times New Roman"/>
          <w:lang w:val="en-US"/>
        </w:rPr>
        <w:t xml:space="preserve"> in the heritage discourses in 1930’s. </w:t>
      </w:r>
    </w:p>
    <w:p w:rsidR="00A320BF" w:rsidRDefault="00A320BF" w:rsidP="00A320BF">
      <w:pPr>
        <w:jc w:val="both"/>
        <w:rPr>
          <w:rFonts w:ascii="Times New Roman" w:eastAsia="Times New Roman" w:hAnsi="Times New Roman"/>
          <w:lang w:val="en-US"/>
        </w:rPr>
      </w:pPr>
      <w:r w:rsidRPr="008C7C39">
        <w:rPr>
          <w:rFonts w:ascii="Times New Roman" w:eastAsia="Times New Roman" w:hAnsi="Times New Roman"/>
          <w:lang w:val="en-US"/>
        </w:rPr>
        <w:t xml:space="preserve">I conclude that heritage discourses produced by interactions </w:t>
      </w:r>
      <w:r w:rsidRPr="008C7C39">
        <w:rPr>
          <w:rFonts w:ascii="Times New Roman" w:hAnsi="Times New Roman" w:hint="eastAsia"/>
          <w:lang w:val="en-US"/>
        </w:rPr>
        <w:t xml:space="preserve">between </w:t>
      </w:r>
      <w:r w:rsidRPr="008C7C39">
        <w:rPr>
          <w:rFonts w:ascii="Times New Roman" w:eastAsia="Times New Roman" w:hAnsi="Times New Roman"/>
          <w:lang w:val="en-US"/>
        </w:rPr>
        <w:t xml:space="preserve">international and domestic languages and </w:t>
      </w:r>
      <w:r w:rsidRPr="008C7C39">
        <w:rPr>
          <w:rFonts w:ascii="Times New Roman" w:hAnsi="Times New Roman" w:hint="eastAsia"/>
          <w:lang w:val="en-US"/>
        </w:rPr>
        <w:t xml:space="preserve">among </w:t>
      </w:r>
      <w:r w:rsidRPr="008C7C39">
        <w:rPr>
          <w:rFonts w:ascii="Times New Roman" w:eastAsia="Times New Roman" w:hAnsi="Times New Roman"/>
          <w:lang w:val="en-US"/>
        </w:rPr>
        <w:t xml:space="preserve">interested individuals in 1930’s Japan reveals the complexity and fluidity </w:t>
      </w:r>
      <w:r w:rsidRPr="008C7C39">
        <w:rPr>
          <w:rFonts w:ascii="Times New Roman" w:hAnsi="Times New Roman" w:hint="eastAsia"/>
          <w:lang w:val="en-US"/>
        </w:rPr>
        <w:t xml:space="preserve">of the </w:t>
      </w:r>
      <w:r w:rsidRPr="008C7C39">
        <w:rPr>
          <w:rFonts w:ascii="Times New Roman" w:eastAsia="Times New Roman" w:hAnsi="Times New Roman"/>
          <w:lang w:val="en-US"/>
        </w:rPr>
        <w:t xml:space="preserve">construction of national identity. </w:t>
      </w:r>
    </w:p>
    <w:p w:rsidR="00A320BF" w:rsidRDefault="00A320BF" w:rsidP="00A320BF">
      <w:pPr>
        <w:jc w:val="both"/>
        <w:rPr>
          <w:rFonts w:ascii="Times New Roman" w:eastAsia="Times New Roman" w:hAnsi="Times New Roman"/>
          <w:lang w:val="en-US"/>
        </w:rPr>
      </w:pPr>
    </w:p>
    <w:p w:rsidR="00A320BF" w:rsidRPr="008C7C39" w:rsidRDefault="00A320BF" w:rsidP="00A320BF">
      <w:pPr>
        <w:jc w:val="both"/>
        <w:rPr>
          <w:rFonts w:cs="Arial"/>
          <w:color w:val="3F3F3F"/>
          <w:sz w:val="22"/>
          <w:szCs w:val="22"/>
          <w:lang w:val="en-US"/>
        </w:rPr>
      </w:pPr>
      <w:r w:rsidRPr="008C7C39">
        <w:rPr>
          <w:rFonts w:cs="Arial"/>
          <w:color w:val="3F3F3F"/>
          <w:sz w:val="22"/>
          <w:szCs w:val="22"/>
          <w:u w:val="single"/>
          <w:lang w:val="en-US"/>
        </w:rPr>
        <w:t xml:space="preserve">Academic field(s): </w:t>
      </w:r>
      <w:r w:rsidRPr="008C7C39">
        <w:rPr>
          <w:rFonts w:asciiTheme="majorHAnsi" w:hAnsiTheme="majorHAnsi" w:cs="Helvetica Neue"/>
          <w:lang w:val="en-US" w:eastAsia="zh-CN"/>
        </w:rPr>
        <w:t>Japanese literature and Cultural Studies</w:t>
      </w:r>
    </w:p>
    <w:p w:rsidR="00A320BF" w:rsidRPr="00400857" w:rsidRDefault="00A320BF" w:rsidP="00A320BF">
      <w:pPr>
        <w:pStyle w:val="Default"/>
        <w:jc w:val="both"/>
        <w:rPr>
          <w:rFonts w:asciiTheme="majorHAnsi" w:hAnsiTheme="majorHAnsi"/>
          <w:sz w:val="22"/>
          <w:szCs w:val="22"/>
          <w:lang w:val="en-US"/>
        </w:rPr>
      </w:pPr>
    </w:p>
    <w:p w:rsidR="00A320BF" w:rsidRDefault="00A320BF" w:rsidP="00A320BF">
      <w:pPr>
        <w:pStyle w:val="Default"/>
        <w:jc w:val="both"/>
        <w:rPr>
          <w:lang w:val="en-US"/>
        </w:rPr>
      </w:pPr>
    </w:p>
    <w:p w:rsidR="00FB4D56" w:rsidRPr="00A320BF" w:rsidRDefault="00FB4D56">
      <w:pPr>
        <w:rPr>
          <w:rFonts w:ascii="Times New Roman" w:hAnsi="Times New Roman"/>
        </w:rPr>
      </w:pPr>
      <w:bookmarkStart w:id="0" w:name="_GoBack"/>
      <w:bookmarkEnd w:id="0"/>
    </w:p>
    <w:sectPr w:rsidR="00FB4D56" w:rsidRPr="00A320BF" w:rsidSect="00A65508">
      <w:footerReference w:type="even" r:id="rId6"/>
      <w:footerReference w:type="default" r:id="rI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27" w:rsidRDefault="00A320BF" w:rsidP="007033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B3A27" w:rsidRDefault="00A320BF" w:rsidP="005C6647">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A27" w:rsidRDefault="00A320BF" w:rsidP="007033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B3A27" w:rsidRDefault="00A320BF" w:rsidP="005C6647">
    <w:pPr>
      <w:pStyle w:val="a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BF"/>
    <w:rsid w:val="006974CF"/>
    <w:rsid w:val="00A320BF"/>
    <w:rsid w:val="00FB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F71D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BF"/>
    <w:rPr>
      <w:rFonts w:ascii="Cambria" w:eastAsia="MS ??" w:hAnsi="Cambria" w:cs="Times New Roman"/>
      <w:kern w:val="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320BF"/>
    <w:pPr>
      <w:widowControl w:val="0"/>
      <w:autoSpaceDE w:val="0"/>
      <w:autoSpaceDN w:val="0"/>
      <w:adjustRightInd w:val="0"/>
    </w:pPr>
    <w:rPr>
      <w:rFonts w:ascii="Times New Roman" w:eastAsia="MS ??" w:hAnsi="Times New Roman" w:cs="Times New Roman"/>
      <w:color w:val="000000"/>
      <w:kern w:val="0"/>
      <w:lang w:val="fr-FR" w:eastAsia="fr-FR"/>
    </w:rPr>
  </w:style>
  <w:style w:type="character" w:styleId="a3">
    <w:name w:val="Hyperlink"/>
    <w:basedOn w:val="a0"/>
    <w:uiPriority w:val="99"/>
    <w:rsid w:val="00A320BF"/>
    <w:rPr>
      <w:rFonts w:cs="Times New Roman"/>
      <w:color w:val="0000FF"/>
      <w:u w:val="single"/>
    </w:rPr>
  </w:style>
  <w:style w:type="paragraph" w:styleId="a4">
    <w:name w:val="footer"/>
    <w:basedOn w:val="a"/>
    <w:link w:val="a5"/>
    <w:uiPriority w:val="99"/>
    <w:rsid w:val="00A320BF"/>
    <w:pPr>
      <w:tabs>
        <w:tab w:val="center" w:pos="4536"/>
        <w:tab w:val="right" w:pos="9072"/>
      </w:tabs>
    </w:pPr>
  </w:style>
  <w:style w:type="character" w:customStyle="1" w:styleId="a5">
    <w:name w:val="フッター (文字)"/>
    <w:basedOn w:val="a0"/>
    <w:link w:val="a4"/>
    <w:uiPriority w:val="99"/>
    <w:rsid w:val="00A320BF"/>
    <w:rPr>
      <w:rFonts w:ascii="Cambria" w:eastAsia="MS ??" w:hAnsi="Cambria" w:cs="Times New Roman"/>
      <w:kern w:val="0"/>
      <w:lang w:val="fr-FR" w:eastAsia="fr-FR"/>
    </w:rPr>
  </w:style>
  <w:style w:type="character" w:styleId="a6">
    <w:name w:val="page number"/>
    <w:basedOn w:val="a0"/>
    <w:uiPriority w:val="99"/>
    <w:rsid w:val="00A320BF"/>
    <w:rPr>
      <w:rFonts w:cs="Times New Roman"/>
    </w:rPr>
  </w:style>
  <w:style w:type="character" w:customStyle="1" w:styleId="st">
    <w:name w:val="st"/>
    <w:basedOn w:val="a0"/>
    <w:rsid w:val="00A320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0BF"/>
    <w:rPr>
      <w:rFonts w:ascii="Cambria" w:eastAsia="MS ??" w:hAnsi="Cambria" w:cs="Times New Roman"/>
      <w:kern w:val="0"/>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320BF"/>
    <w:pPr>
      <w:widowControl w:val="0"/>
      <w:autoSpaceDE w:val="0"/>
      <w:autoSpaceDN w:val="0"/>
      <w:adjustRightInd w:val="0"/>
    </w:pPr>
    <w:rPr>
      <w:rFonts w:ascii="Times New Roman" w:eastAsia="MS ??" w:hAnsi="Times New Roman" w:cs="Times New Roman"/>
      <w:color w:val="000000"/>
      <w:kern w:val="0"/>
      <w:lang w:val="fr-FR" w:eastAsia="fr-FR"/>
    </w:rPr>
  </w:style>
  <w:style w:type="character" w:styleId="a3">
    <w:name w:val="Hyperlink"/>
    <w:basedOn w:val="a0"/>
    <w:uiPriority w:val="99"/>
    <w:rsid w:val="00A320BF"/>
    <w:rPr>
      <w:rFonts w:cs="Times New Roman"/>
      <w:color w:val="0000FF"/>
      <w:u w:val="single"/>
    </w:rPr>
  </w:style>
  <w:style w:type="paragraph" w:styleId="a4">
    <w:name w:val="footer"/>
    <w:basedOn w:val="a"/>
    <w:link w:val="a5"/>
    <w:uiPriority w:val="99"/>
    <w:rsid w:val="00A320BF"/>
    <w:pPr>
      <w:tabs>
        <w:tab w:val="center" w:pos="4536"/>
        <w:tab w:val="right" w:pos="9072"/>
      </w:tabs>
    </w:pPr>
  </w:style>
  <w:style w:type="character" w:customStyle="1" w:styleId="a5">
    <w:name w:val="フッター (文字)"/>
    <w:basedOn w:val="a0"/>
    <w:link w:val="a4"/>
    <w:uiPriority w:val="99"/>
    <w:rsid w:val="00A320BF"/>
    <w:rPr>
      <w:rFonts w:ascii="Cambria" w:eastAsia="MS ??" w:hAnsi="Cambria" w:cs="Times New Roman"/>
      <w:kern w:val="0"/>
      <w:lang w:val="fr-FR" w:eastAsia="fr-FR"/>
    </w:rPr>
  </w:style>
  <w:style w:type="character" w:styleId="a6">
    <w:name w:val="page number"/>
    <w:basedOn w:val="a0"/>
    <w:uiPriority w:val="99"/>
    <w:rsid w:val="00A320BF"/>
    <w:rPr>
      <w:rFonts w:cs="Times New Roman"/>
    </w:rPr>
  </w:style>
  <w:style w:type="character" w:customStyle="1" w:styleId="st">
    <w:name w:val="st"/>
    <w:basedOn w:val="a0"/>
    <w:rsid w:val="00A3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naitomariko@gmail.com"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2834</Characters>
  <Application>Microsoft Macintosh Word</Application>
  <DocSecurity>0</DocSecurity>
  <Lines>42</Lines>
  <Paragraphs>10</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Naito Mariko</dc:creator>
  <cp:keywords/>
  <dc:description/>
  <cp:lastModifiedBy>Naito Mariko</cp:lastModifiedBy>
  <cp:revision>1</cp:revision>
  <dcterms:created xsi:type="dcterms:W3CDTF">2015-03-14T07:23:00Z</dcterms:created>
  <dcterms:modified xsi:type="dcterms:W3CDTF">2015-03-14T07:23:00Z</dcterms:modified>
</cp:coreProperties>
</file>